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CE" w:rsidRPr="000450CE" w:rsidRDefault="000450CE" w:rsidP="000450CE">
      <w:pPr>
        <w:rPr>
          <w:rFonts w:asciiTheme="minorHAnsi" w:hAnsiTheme="minorHAnsi" w:cstheme="minorHAnsi"/>
          <w:b/>
          <w:color w:val="000000"/>
        </w:rPr>
      </w:pPr>
    </w:p>
    <w:p w:rsidR="000450CE" w:rsidRPr="000450CE" w:rsidRDefault="000450CE" w:rsidP="000450CE">
      <w:pPr>
        <w:rPr>
          <w:rFonts w:asciiTheme="minorHAnsi" w:hAnsiTheme="minorHAnsi" w:cstheme="minorHAnsi"/>
          <w:b/>
          <w:color w:val="000000"/>
        </w:rPr>
      </w:pPr>
    </w:p>
    <w:p w:rsidR="000450CE" w:rsidRPr="000450CE" w:rsidRDefault="000450CE" w:rsidP="000450CE">
      <w:pPr>
        <w:rPr>
          <w:rFonts w:asciiTheme="minorHAnsi" w:hAnsiTheme="minorHAnsi" w:cstheme="minorHAnsi"/>
          <w:b/>
          <w:color w:val="000000"/>
        </w:rPr>
      </w:pPr>
    </w:p>
    <w:p w:rsidR="000450CE" w:rsidRPr="000450CE" w:rsidRDefault="000450CE" w:rsidP="000450CE">
      <w:pPr>
        <w:rPr>
          <w:rFonts w:asciiTheme="minorHAnsi" w:hAnsiTheme="minorHAnsi" w:cstheme="minorHAnsi"/>
          <w:b/>
          <w:color w:val="000000"/>
        </w:rPr>
      </w:pPr>
    </w:p>
    <w:p w:rsidR="000450CE" w:rsidRPr="000450CE" w:rsidRDefault="000450CE" w:rsidP="000450CE">
      <w:pPr>
        <w:rPr>
          <w:rFonts w:asciiTheme="minorHAnsi" w:hAnsiTheme="minorHAnsi" w:cstheme="minorHAnsi"/>
          <w:b/>
          <w:color w:val="000000"/>
        </w:rPr>
      </w:pPr>
      <w:r w:rsidRPr="000450CE">
        <w:rPr>
          <w:rFonts w:asciiTheme="minorHAnsi" w:hAnsiTheme="minorHAnsi" w:cstheme="minorHAnsi"/>
          <w:b/>
          <w:color w:val="000000"/>
        </w:rPr>
        <w:t>GJ5606 AE... RESCUEline – Moteur pour B.S.O.  pour les issues de secours secondaires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</w:p>
    <w:p w:rsidR="000450CE" w:rsidRPr="000450CE" w:rsidRDefault="000450CE" w:rsidP="000450CE">
      <w:pPr>
        <w:rPr>
          <w:rFonts w:asciiTheme="minorHAnsi" w:hAnsiTheme="minorHAnsi" w:cstheme="minorHAnsi"/>
          <w:b/>
          <w:color w:val="000000"/>
        </w:rPr>
      </w:pPr>
      <w:r w:rsidRPr="000450CE">
        <w:rPr>
          <w:rFonts w:asciiTheme="minorHAnsi" w:hAnsiTheme="minorHAnsi" w:cstheme="minorHAnsi"/>
          <w:b/>
          <w:color w:val="000000"/>
        </w:rPr>
        <w:t>Moteur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  <w:r w:rsidRPr="000450CE">
        <w:rPr>
          <w:rFonts w:asciiTheme="minorHAnsi" w:hAnsiTheme="minorHAnsi" w:cstheme="minorHAnsi"/>
          <w:color w:val="000000"/>
        </w:rPr>
        <w:t xml:space="preserve">Moteur à courant continu sur batterie pour une installation invisible  avec l'unité de commande dans le rail supérieur. 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  <w:r w:rsidRPr="000450CE">
        <w:rPr>
          <w:rFonts w:asciiTheme="minorHAnsi" w:hAnsiTheme="minorHAnsi" w:cstheme="minorHAnsi"/>
          <w:color w:val="000000"/>
        </w:rPr>
        <w:t>Couple : 6 Nm, vitesse : 22 tr/min en fonctionnement normal (27 tr/min en mode de secours),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  <w:r w:rsidRPr="000450CE">
        <w:rPr>
          <w:rFonts w:asciiTheme="minorHAnsi" w:hAnsiTheme="minorHAnsi" w:cstheme="minorHAnsi"/>
          <w:color w:val="000000"/>
        </w:rPr>
        <w:t xml:space="preserve">Classe de protection IP 44, avec arbre de sortie des deux côtés. 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</w:p>
    <w:p w:rsidR="000450CE" w:rsidRPr="000450CE" w:rsidRDefault="000450CE" w:rsidP="000450CE">
      <w:pPr>
        <w:rPr>
          <w:rFonts w:asciiTheme="minorHAnsi" w:hAnsiTheme="minorHAnsi" w:cstheme="minorHAnsi"/>
          <w:b/>
          <w:color w:val="000000"/>
        </w:rPr>
      </w:pPr>
      <w:r w:rsidRPr="000450CE">
        <w:rPr>
          <w:rFonts w:asciiTheme="minorHAnsi" w:hAnsiTheme="minorHAnsi" w:cstheme="minorHAnsi"/>
          <w:b/>
          <w:color w:val="000000"/>
        </w:rPr>
        <w:t>Système de contrôle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  <w:r w:rsidRPr="000450CE">
        <w:rPr>
          <w:rFonts w:asciiTheme="minorHAnsi" w:hAnsiTheme="minorHAnsi" w:cstheme="minorHAnsi"/>
          <w:color w:val="000000"/>
        </w:rPr>
        <w:t>Alimentation électrique 100..230V 50/60 Hz. Interrupteur de fin de course intégré, interrupteur de protection thermique et batterie lithium-phosphate de fer remplaçable (LiFePo4, 14.08 Wh/1.1 Ah). Câble de connexion enfichable. Peut être intégré dans une centrale d'alarme incendie existante ou déclenché par un interrupteur d'urgence.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  <w:r w:rsidRPr="000450CE">
        <w:rPr>
          <w:rFonts w:asciiTheme="minorHAnsi" w:hAnsiTheme="minorHAnsi" w:cstheme="minorHAnsi"/>
          <w:color w:val="000000"/>
        </w:rPr>
        <w:t>Affichage  LED pour l'intérieur ou l'extérieur afin de visualiser l'état de fonctionnement.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  <w:r w:rsidRPr="000450CE">
        <w:rPr>
          <w:rFonts w:asciiTheme="minorHAnsi" w:hAnsiTheme="minorHAnsi" w:cstheme="minorHAnsi"/>
          <w:color w:val="000000"/>
        </w:rPr>
        <w:t xml:space="preserve">L'ensemble du système doit être installé avec des éléments d’isolation </w:t>
      </w:r>
      <w:r w:rsidRPr="000450CE">
        <w:rPr>
          <w:rFonts w:asciiTheme="minorHAnsi" w:hAnsiTheme="minorHAnsi" w:cstheme="minorHAnsi"/>
          <w:color w:val="000000"/>
        </w:rPr>
        <w:t>acoustique</w:t>
      </w:r>
      <w:r w:rsidRPr="000450CE">
        <w:rPr>
          <w:rFonts w:asciiTheme="minorHAnsi" w:hAnsiTheme="minorHAnsi" w:cstheme="minorHAnsi"/>
          <w:color w:val="000000"/>
        </w:rPr>
        <w:t xml:space="preserve"> pour réduire au maximum la transmission des bruits de structure.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  <w:r w:rsidRPr="000450CE">
        <w:rPr>
          <w:rFonts w:asciiTheme="minorHAnsi" w:hAnsiTheme="minorHAnsi" w:cstheme="minorHAnsi"/>
          <w:color w:val="000000"/>
        </w:rPr>
        <w:t>Fonctionnement avec des interrupteurs de stores classiques ou au moyen du système de commande de la maison.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  <w:r w:rsidRPr="000450CE">
        <w:rPr>
          <w:rFonts w:asciiTheme="minorHAnsi" w:hAnsiTheme="minorHAnsi" w:cstheme="minorHAnsi"/>
          <w:color w:val="000000"/>
        </w:rPr>
        <w:t xml:space="preserve">Les positions finales supérieures et inférieures peuvent être réglées librement. L'arrêt en position finale supérieure peut être effectué sans réglage par des interrupteurs de fin de course. 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  <w:r w:rsidRPr="000450CE">
        <w:rPr>
          <w:rFonts w:asciiTheme="minorHAnsi" w:hAnsiTheme="minorHAnsi" w:cstheme="minorHAnsi"/>
          <w:color w:val="000000"/>
        </w:rPr>
        <w:t>Avec protection contre le gel et compensation de la longueur des bandes par référencement automatique après 1, 5, 20 puis tous les 50 cycles.</w:t>
      </w:r>
    </w:p>
    <w:p w:rsidR="000450CE" w:rsidRPr="000450CE" w:rsidRDefault="000450CE" w:rsidP="000450CE">
      <w:pPr>
        <w:rPr>
          <w:rFonts w:asciiTheme="minorHAnsi" w:hAnsiTheme="minorHAnsi" w:cstheme="minorHAnsi"/>
          <w:color w:val="000000"/>
        </w:rPr>
      </w:pPr>
    </w:p>
    <w:p w:rsidR="00886453" w:rsidRPr="000450CE" w:rsidRDefault="00886453">
      <w:bookmarkStart w:id="0" w:name="_GoBack"/>
      <w:bookmarkEnd w:id="0"/>
    </w:p>
    <w:sectPr w:rsidR="00886453" w:rsidRPr="000450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CE"/>
    <w:rsid w:val="000450CE"/>
    <w:rsid w:val="001375EA"/>
    <w:rsid w:val="00516847"/>
    <w:rsid w:val="006B5C43"/>
    <w:rsid w:val="00886453"/>
    <w:rsid w:val="00B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0CE"/>
    <w:rPr>
      <w:rFonts w:ascii="Arial" w:hAnsi="Arial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0CE"/>
    <w:rPr>
      <w:rFonts w:ascii="Arial" w:hAnsi="Arial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Company>Gerhard Geiger GmbH &amp; Co. KG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Merkle, Sonia</cp:lastModifiedBy>
  <cp:revision>1</cp:revision>
  <dcterms:created xsi:type="dcterms:W3CDTF">2020-12-03T09:28:00Z</dcterms:created>
  <dcterms:modified xsi:type="dcterms:W3CDTF">2020-12-03T09:29:00Z</dcterms:modified>
</cp:coreProperties>
</file>